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71" w:rsidRPr="00C4734A" w:rsidRDefault="008B1A71" w:rsidP="008B1A71">
      <w:pPr>
        <w:pStyle w:val="a3"/>
        <w:jc w:val="right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C4734A">
        <w:rPr>
          <w:rFonts w:ascii="Times New Roman" w:hAnsi="Times New Roman"/>
          <w:b w:val="0"/>
          <w:sz w:val="28"/>
          <w:szCs w:val="28"/>
        </w:rPr>
        <w:t>проект</w:t>
      </w:r>
    </w:p>
    <w:p w:rsidR="008B1A71" w:rsidRPr="00AE16D4" w:rsidRDefault="008B1A71" w:rsidP="008B1A71">
      <w:pPr>
        <w:pStyle w:val="a3"/>
        <w:rPr>
          <w:rFonts w:ascii="Times New Roman" w:hAnsi="Times New Roman"/>
          <w:b w:val="0"/>
          <w:sz w:val="28"/>
          <w:szCs w:val="28"/>
        </w:rPr>
      </w:pPr>
      <w:r w:rsidRPr="00AE16D4">
        <w:rPr>
          <w:rFonts w:ascii="Times New Roman" w:hAnsi="Times New Roman"/>
          <w:sz w:val="28"/>
          <w:szCs w:val="28"/>
        </w:rPr>
        <w:t>КОНТРАКТ №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на поставку товаров для муниципальных нужд</w:t>
      </w:r>
    </w:p>
    <w:p w:rsidR="008B1A71" w:rsidRPr="00AE16D4" w:rsidRDefault="008B1A71" w:rsidP="008B1A71">
      <w:pPr>
        <w:jc w:val="center"/>
      </w:pPr>
    </w:p>
    <w:p w:rsidR="008B1A71" w:rsidRPr="00AE16D4" w:rsidRDefault="008B1A71" w:rsidP="008B1A71">
      <w:pPr>
        <w:jc w:val="both"/>
      </w:pPr>
      <w:r w:rsidRPr="00AE16D4">
        <w:t>г. Иваново                                                                                            «</w:t>
      </w:r>
      <w:r>
        <w:t>___</w:t>
      </w:r>
      <w:r w:rsidRPr="00AE16D4">
        <w:t>»</w:t>
      </w:r>
      <w:r>
        <w:t>_________________</w:t>
      </w:r>
      <w:r w:rsidRPr="00AE16D4">
        <w:t xml:space="preserve"> г.</w:t>
      </w:r>
    </w:p>
    <w:p w:rsidR="008B1A71" w:rsidRPr="00AE16D4" w:rsidRDefault="008B1A71" w:rsidP="008B1A71">
      <w:pPr>
        <w:jc w:val="center"/>
      </w:pPr>
    </w:p>
    <w:p w:rsidR="008B1A71" w:rsidRPr="00AE16D4" w:rsidRDefault="008B1A71" w:rsidP="008B1A71">
      <w:pPr>
        <w:ind w:left="-540" w:firstLine="540"/>
        <w:jc w:val="both"/>
        <w:rPr>
          <w:b/>
        </w:rPr>
      </w:pPr>
      <w:proofErr w:type="gramStart"/>
      <w:r w:rsidRPr="001000EF">
        <w:t xml:space="preserve">Муниципальное </w:t>
      </w:r>
      <w:r w:rsidR="001234B1">
        <w:t xml:space="preserve">бюджетное дошкольное образовательное </w:t>
      </w:r>
      <w:r w:rsidRPr="001000EF">
        <w:t>учреждение «</w:t>
      </w:r>
      <w:r w:rsidR="001234B1">
        <w:t>Детский сад комбинированного вида № 181»,</w:t>
      </w:r>
      <w:r w:rsidRPr="001000EF">
        <w:t xml:space="preserve"> именуемое в дальнейшем Заказчик, в лице </w:t>
      </w:r>
      <w:r w:rsidR="001234B1">
        <w:t>заведующего Ломакиной С.В.</w:t>
      </w:r>
      <w:r w:rsidRPr="001000EF">
        <w:t xml:space="preserve">, действующей на основании Устава, с одной стороны, и </w:t>
      </w:r>
      <w:r>
        <w:t>________________________________________________</w:t>
      </w:r>
      <w:r w:rsidRPr="001000EF">
        <w:t xml:space="preserve">, именуемое в дальнейшем Поставщик, в лице </w:t>
      </w:r>
      <w:r>
        <w:t>____________________________</w:t>
      </w:r>
      <w:r w:rsidRPr="001000EF">
        <w:t xml:space="preserve">, действующего на основании </w:t>
      </w:r>
      <w:r>
        <w:t>___________</w:t>
      </w:r>
      <w:r w:rsidRPr="001000EF">
        <w:t>, с другой Стороны, с соблюдением требований Гражданского кодекса Российской Федерации, Федерального закона от 05.04.2013 г. №</w:t>
      </w:r>
      <w:r>
        <w:t xml:space="preserve"> </w:t>
      </w:r>
      <w:r w:rsidRPr="001000EF">
        <w:t>44-ФЗ «О контрактной системе в сфере закупок товаров</w:t>
      </w:r>
      <w:proofErr w:type="gramEnd"/>
      <w:r w:rsidRPr="001000EF">
        <w:t xml:space="preserve">, работ, услуг для обеспечения государственных и муниципальных нужд», иных нормативных правовых актов Российской Федерации, на основании результатов запроса котировок (протокол рассмотрения и оценки заявок на участие в запросе котировок </w:t>
      </w:r>
      <w:r>
        <w:t xml:space="preserve">                                 </w:t>
      </w:r>
      <w:r w:rsidRPr="001000EF">
        <w:t xml:space="preserve">№ </w:t>
      </w:r>
      <w:r>
        <w:t>_______________________________</w:t>
      </w:r>
      <w:r w:rsidRPr="001000EF">
        <w:t xml:space="preserve"> от</w:t>
      </w:r>
      <w:r>
        <w:t xml:space="preserve"> </w:t>
      </w:r>
      <w:r w:rsidRPr="001000EF">
        <w:t>«</w:t>
      </w:r>
      <w:r>
        <w:t>___</w:t>
      </w:r>
      <w:r w:rsidRPr="001000EF">
        <w:t xml:space="preserve">» </w:t>
      </w:r>
      <w:r>
        <w:t>________</w:t>
      </w:r>
      <w:r w:rsidRPr="001000EF">
        <w:t xml:space="preserve"> 2015 г.), заключили настоящий контракт (далее - Контракт) о нижеследующем:</w:t>
      </w:r>
    </w:p>
    <w:p w:rsidR="008B1A71" w:rsidRDefault="008B1A71" w:rsidP="008B1A71">
      <w:pPr>
        <w:jc w:val="center"/>
        <w:rPr>
          <w:b/>
        </w:rPr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1. Предмет Контракта</w:t>
      </w:r>
    </w:p>
    <w:p w:rsidR="008B1A71" w:rsidRDefault="008B1A71" w:rsidP="008B1A71">
      <w:pPr>
        <w:ind w:left="-567" w:firstLine="567"/>
        <w:jc w:val="both"/>
      </w:pPr>
      <w:r w:rsidRPr="00AE16D4">
        <w:t xml:space="preserve">1.1. По настоящему Контракту Поставщик принимает на себя обязанности по поставке </w:t>
      </w:r>
      <w:r w:rsidRPr="00B91790">
        <w:t xml:space="preserve"> </w:t>
      </w:r>
      <w:r w:rsidR="001234B1">
        <w:t>детской мебели (детские кровати)</w:t>
      </w:r>
      <w:r w:rsidRPr="00B91790">
        <w:t xml:space="preserve"> (далее – товар) для обеспечения нужд муниципального </w:t>
      </w:r>
      <w:r w:rsidR="001234B1">
        <w:t>бюджетного дошкольного образовательного учреждения «Детский сад комбинированного вида № 181»,</w:t>
      </w:r>
      <w:r w:rsidRPr="00087302">
        <w:t xml:space="preserve"> </w:t>
      </w:r>
      <w:r>
        <w:t>З</w:t>
      </w:r>
      <w:r w:rsidRPr="00087302">
        <w:t>аказчик принять и оплатить Товар</w:t>
      </w:r>
      <w:r>
        <w:t>.</w:t>
      </w:r>
    </w:p>
    <w:p w:rsidR="008B1A71" w:rsidRDefault="008B1A71" w:rsidP="008B1A71">
      <w:pPr>
        <w:ind w:left="-567" w:firstLine="567"/>
        <w:jc w:val="both"/>
      </w:pPr>
      <w:r w:rsidRPr="00AE16D4">
        <w:t>1.</w:t>
      </w:r>
      <w:r>
        <w:t>2</w:t>
      </w:r>
      <w:r w:rsidRPr="00AE16D4">
        <w:t xml:space="preserve">. </w:t>
      </w:r>
      <w:proofErr w:type="gramStart"/>
      <w:r>
        <w:t xml:space="preserve">Наименование, цена, количество (объем) и качество поставляемого по настоящему Контракту Товара, указаны в Спецификации на Товар, являющейся неотъемлемой частью настоящего Контракта (далее – Приложение № 1).  </w:t>
      </w:r>
      <w:proofErr w:type="gramEnd"/>
    </w:p>
    <w:p w:rsidR="008B1A71" w:rsidRDefault="008B1A71" w:rsidP="008B1A71">
      <w:pPr>
        <w:ind w:left="-567" w:firstLine="567"/>
        <w:jc w:val="both"/>
      </w:pPr>
      <w:r>
        <w:t>1.3. Поставщик гарантирует, что Товар передается свободным от прав третьих лиц и не является предметом залога, спора, ареста или иного обременения.</w:t>
      </w:r>
    </w:p>
    <w:p w:rsidR="008B1A71" w:rsidRDefault="008B1A71" w:rsidP="008B1A71">
      <w:pPr>
        <w:ind w:left="-567" w:firstLine="567"/>
        <w:jc w:val="both"/>
      </w:pPr>
      <w:r>
        <w:t>1.4. Товар по качеству соответствует своему предназначению, имеет сертификат соответствия.</w:t>
      </w:r>
    </w:p>
    <w:p w:rsidR="008B1A71" w:rsidRDefault="008B1A71" w:rsidP="008B1A71">
      <w:pPr>
        <w:ind w:left="-567" w:firstLine="567"/>
        <w:jc w:val="both"/>
      </w:pPr>
      <w:r>
        <w:t xml:space="preserve">1.5. </w:t>
      </w:r>
      <w:r w:rsidRPr="00AE16D4">
        <w:t>По окончании поставки товаров в полном объёме стороны составляют акт приемки-передачи товаров, который является основанием для оплаты принятых товаров.</w:t>
      </w:r>
    </w:p>
    <w:p w:rsidR="008B1A71" w:rsidRPr="00AE16D4" w:rsidRDefault="008B1A71" w:rsidP="008B1A71">
      <w:pPr>
        <w:jc w:val="center"/>
        <w:rPr>
          <w:b/>
        </w:rPr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2. Цена Контракта и порядок расчетов</w:t>
      </w:r>
    </w:p>
    <w:p w:rsidR="008B1A71" w:rsidRPr="00485635" w:rsidRDefault="008B1A71" w:rsidP="008B1A71">
      <w:pPr>
        <w:ind w:left="-567" w:firstLine="567"/>
        <w:jc w:val="both"/>
      </w:pPr>
      <w:r w:rsidRPr="00AE16D4">
        <w:t>2.1. Цена настоящего Контракта составляет</w:t>
      </w:r>
      <w:proofErr w:type="gramStart"/>
      <w:r w:rsidRPr="00AE16D4">
        <w:t xml:space="preserve"> </w:t>
      </w:r>
      <w:r>
        <w:t>___________________</w:t>
      </w:r>
      <w:r w:rsidRPr="00AE16D4">
        <w:t>(</w:t>
      </w:r>
      <w:r>
        <w:t>__________________</w:t>
      </w:r>
      <w:r w:rsidRPr="00AE16D4">
        <w:t xml:space="preserve">) </w:t>
      </w:r>
      <w:proofErr w:type="gramEnd"/>
      <w:r w:rsidRPr="00AE16D4">
        <w:t>руб</w:t>
      </w:r>
      <w:r>
        <w:t>.</w:t>
      </w:r>
      <w:r w:rsidRPr="00485635">
        <w:t xml:space="preserve">, в </w:t>
      </w:r>
      <w:proofErr w:type="spellStart"/>
      <w:r w:rsidRPr="00485635">
        <w:t>т.ч</w:t>
      </w:r>
      <w:proofErr w:type="spellEnd"/>
      <w:r w:rsidRPr="00485635">
        <w:t>. НДС</w:t>
      </w:r>
      <w:r w:rsidRPr="00485635">
        <w:rPr>
          <w:vertAlign w:val="superscript"/>
        </w:rPr>
        <w:footnoteReference w:customMarkFollows="1" w:id="1"/>
        <w:t>*</w:t>
      </w:r>
      <w:r w:rsidRPr="00485635">
        <w:t xml:space="preserve"> ______________________ (_______________) рублей.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2.2. Цена контракта включает все расходы, связанные с исполнение</w:t>
      </w:r>
      <w:r>
        <w:t>м</w:t>
      </w:r>
      <w:r w:rsidRPr="00AE16D4">
        <w:t xml:space="preserve"> контракта, в том числе стоимость товара, расходы на гарантийное обслуживание, расходы по доставке товара, разгрузке, сборке товара, налоги, таможенные пошлины, сборы и другие обязательные платежи.</w:t>
      </w:r>
    </w:p>
    <w:p w:rsidR="008B1A71" w:rsidRPr="00B77464" w:rsidRDefault="008B1A71" w:rsidP="008B1A71">
      <w:pPr>
        <w:ind w:left="-567" w:firstLine="567"/>
        <w:jc w:val="both"/>
      </w:pPr>
      <w:r w:rsidRPr="00AE16D4">
        <w:t xml:space="preserve">2.3. Цена </w:t>
      </w:r>
      <w:r w:rsidRPr="00B77464">
        <w:t>Контракта является твердой и определяется на весь срок исполнения Контракта, за исключением случаев, предусмотренных Федеральным законом № 44-ФЗ и настоящим Контрактом</w:t>
      </w:r>
    </w:p>
    <w:p w:rsidR="008B1A71" w:rsidRPr="00AE16D4" w:rsidRDefault="008B1A71" w:rsidP="008B1A71">
      <w:pPr>
        <w:ind w:left="-567" w:firstLine="567"/>
        <w:jc w:val="both"/>
      </w:pPr>
      <w:r w:rsidRPr="00B77464">
        <w:t xml:space="preserve">2.4. Цена </w:t>
      </w:r>
      <w:r>
        <w:t>К</w:t>
      </w:r>
      <w:r w:rsidRPr="00AE16D4">
        <w:t xml:space="preserve">онтракта может быть снижена по соглашению сторон без изменения предусмотренных контрактом количества </w:t>
      </w:r>
      <w:r>
        <w:t>Т</w:t>
      </w:r>
      <w:r w:rsidRPr="00AE16D4">
        <w:t>овара</w:t>
      </w:r>
      <w:r>
        <w:t>, качества Товара</w:t>
      </w:r>
      <w:r w:rsidRPr="00AE16D4">
        <w:t xml:space="preserve"> и иных условий исполнения муниципального Контракта.</w:t>
      </w:r>
    </w:p>
    <w:p w:rsidR="008B1A71" w:rsidRPr="00AE16D4" w:rsidRDefault="008B1A71" w:rsidP="008B1A71">
      <w:pPr>
        <w:ind w:left="-567" w:firstLine="567"/>
        <w:jc w:val="both"/>
      </w:pPr>
      <w:r w:rsidRPr="00AE16D4">
        <w:t xml:space="preserve">2.5. Оплата производится в форме безналичного расчета в полном размере стоимости Контракта </w:t>
      </w:r>
      <w:r>
        <w:t xml:space="preserve">в течение 30 дней </w:t>
      </w:r>
      <w:r w:rsidRPr="00AE16D4">
        <w:t>после факта поставки на основании подписанн</w:t>
      </w:r>
      <w:r>
        <w:t>ой</w:t>
      </w:r>
      <w:r w:rsidRPr="00AE16D4">
        <w:t xml:space="preserve"> Сторонами товарной накладной</w:t>
      </w:r>
      <w:r>
        <w:t xml:space="preserve"> и выставленных </w:t>
      </w:r>
      <w:proofErr w:type="gramStart"/>
      <w:r w:rsidRPr="00547151">
        <w:t>счет-фактуры</w:t>
      </w:r>
      <w:proofErr w:type="gramEnd"/>
      <w:r w:rsidRPr="00AE16D4">
        <w:t xml:space="preserve"> и счета Поставщика. При этом датой поставки </w:t>
      </w:r>
      <w:r w:rsidRPr="00AE16D4">
        <w:lastRenderedPageBreak/>
        <w:t>товара считается дата подписания акта приёма-передачи товара надлежаще уполномоченными представителями Сторон.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2.6.</w:t>
      </w:r>
      <w:r>
        <w:t xml:space="preserve"> </w:t>
      </w:r>
      <w:r w:rsidRPr="00AE16D4">
        <w:t>Отказ Поставщика от выполнения своих обязательств возможен только вследствие наступления обстоятельств непреодолимой силы в соответствии с пунктом 7 Контракта.</w:t>
      </w:r>
    </w:p>
    <w:p w:rsidR="008B1A71" w:rsidRDefault="008B1A71" w:rsidP="008B1A71">
      <w:pPr>
        <w:ind w:left="-567" w:firstLine="567"/>
        <w:jc w:val="both"/>
        <w:rPr>
          <w:bCs/>
        </w:rPr>
      </w:pPr>
      <w:r w:rsidRPr="00AE16D4">
        <w:t>2.7.</w:t>
      </w:r>
      <w:r>
        <w:t xml:space="preserve"> </w:t>
      </w:r>
      <w:r w:rsidRPr="00AE16D4">
        <w:t>Оплата</w:t>
      </w:r>
      <w:r w:rsidRPr="00AE16D4">
        <w:rPr>
          <w:bCs/>
        </w:rPr>
        <w:t xml:space="preserve"> за счет средств бюджета города Иванова.</w:t>
      </w:r>
    </w:p>
    <w:p w:rsidR="008B1A71" w:rsidRPr="00B05F52" w:rsidRDefault="008B1A71" w:rsidP="008B1A71">
      <w:pPr>
        <w:ind w:left="-567" w:firstLine="567"/>
        <w:jc w:val="both"/>
        <w:rPr>
          <w:bCs/>
        </w:rPr>
      </w:pPr>
      <w:r>
        <w:rPr>
          <w:bCs/>
        </w:rPr>
        <w:t>2.8</w:t>
      </w:r>
      <w:r w:rsidRPr="00B05F52">
        <w:rPr>
          <w:bCs/>
        </w:rPr>
        <w:t>. В случае</w:t>
      </w:r>
      <w:proofErr w:type="gramStart"/>
      <w:r w:rsidRPr="00B05F52">
        <w:rPr>
          <w:bCs/>
        </w:rPr>
        <w:t>,</w:t>
      </w:r>
      <w:proofErr w:type="gramEnd"/>
      <w:r w:rsidRPr="00B05F52">
        <w:rPr>
          <w:bCs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8B1A71" w:rsidRDefault="008B1A71" w:rsidP="008B1A71">
      <w:pPr>
        <w:jc w:val="center"/>
        <w:rPr>
          <w:b/>
        </w:rPr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3. Сроки и условия поставки</w:t>
      </w:r>
    </w:p>
    <w:p w:rsidR="008B1A71" w:rsidRDefault="008B1A71" w:rsidP="008B1A71">
      <w:pPr>
        <w:ind w:left="-567" w:firstLine="567"/>
        <w:jc w:val="both"/>
      </w:pPr>
      <w:r w:rsidRPr="00AE16D4">
        <w:t xml:space="preserve">3.1. Товар должен быть поставлен не позднее </w:t>
      </w:r>
      <w:r w:rsidR="001234B1">
        <w:t>1</w:t>
      </w:r>
      <w:r w:rsidRPr="00AE16D4">
        <w:t>5 (пят</w:t>
      </w:r>
      <w:r w:rsidR="001234B1">
        <w:t>надцати</w:t>
      </w:r>
      <w:r w:rsidRPr="00AE16D4">
        <w:t xml:space="preserve">) дней с момента подписания Контракта. 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3.2.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3.3. Товар должен поставляться новый, не бывший в употреблении, в надежной  заводской упаковке. Товар должен быть в готовом к эксплуатации виде (в сборе) в полной комплектации.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3.5. Весь поставляемый Товар должен быть промышленной сборки и иметь техническую документацию.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3.6. Упаковка и маркировка товара должны соответствовать требованиям ГОСТа, импортный товар</w:t>
      </w:r>
      <w:r>
        <w:t xml:space="preserve"> </w:t>
      </w:r>
      <w:r w:rsidRPr="00AE16D4">
        <w:t xml:space="preserve">– международным стандартам. 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3.</w:t>
      </w:r>
      <w:r>
        <w:t>8</w:t>
      </w:r>
      <w:r w:rsidRPr="00AE16D4">
        <w:t>. Подписанный между Заказчиком и Поставщиком акт сдачи-приемки товара является основанием для оплаты Поставщику поставленного товара.</w:t>
      </w:r>
    </w:p>
    <w:p w:rsidR="008B1A71" w:rsidRPr="00FC1BEA" w:rsidRDefault="008B1A71" w:rsidP="008B1A71">
      <w:pPr>
        <w:ind w:left="-567" w:firstLine="567"/>
        <w:jc w:val="both"/>
      </w:pPr>
      <w:r w:rsidRPr="00AE16D4">
        <w:t>3.</w:t>
      </w:r>
      <w:r>
        <w:t>9</w:t>
      </w:r>
      <w:r w:rsidRPr="00AE16D4">
        <w:t xml:space="preserve">. Товар поставляется по адресу: </w:t>
      </w:r>
      <w:r w:rsidRPr="00FC1BEA">
        <w:t>1530</w:t>
      </w:r>
      <w:r w:rsidR="00362F81">
        <w:t>48</w:t>
      </w:r>
      <w:r w:rsidRPr="00FC1BEA">
        <w:t xml:space="preserve">, г. Иваново, ул. </w:t>
      </w:r>
      <w:r w:rsidR="00362F81">
        <w:t>3-я  Чапаева, д. 88</w:t>
      </w:r>
      <w:r w:rsidRPr="00FC1BEA">
        <w:t>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.1</w:t>
      </w:r>
      <w:r>
        <w:t>0</w:t>
      </w:r>
      <w:r w:rsidRPr="00B05F52">
        <w:t>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 а также оформить заключение по результатам проведенной своими силами экспертизы поставленного товара.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</w:t>
      </w:r>
      <w:r>
        <w:t>11</w:t>
      </w:r>
      <w:r w:rsidRPr="00B05F52">
        <w:t>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</w:t>
      </w:r>
      <w:r>
        <w:t>12</w:t>
      </w:r>
      <w:r w:rsidRPr="00B05F52">
        <w:t>. Некачественный (некомплектный) товар считается не поставленным.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</w:t>
      </w:r>
      <w:r>
        <w:t>13</w:t>
      </w:r>
      <w:r w:rsidRPr="00B05F52">
        <w:t xml:space="preserve">. Поставщик обязан вывезти Товар, принятый Заказчиком на ответственное хранение или иным образом распорядится Товаром в течение десяти календарных дней со дня принятия Товара на ответственное хранение. </w:t>
      </w:r>
    </w:p>
    <w:p w:rsidR="008B1A71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</w:t>
      </w:r>
      <w:r>
        <w:t>14</w:t>
      </w:r>
      <w:r w:rsidRPr="00B05F52">
        <w:t>. Товар проверяется Заказчиком по качеству и комплектности при вскрытии тары</w:t>
      </w:r>
      <w:r>
        <w:t>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.1</w:t>
      </w:r>
      <w:r>
        <w:t>5</w:t>
      </w:r>
      <w:r w:rsidRPr="00B05F52">
        <w:t>. Претензия, вытекающая из поставки некачественного либо некомплектного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8B1A71" w:rsidRPr="00B05F52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3</w:t>
      </w:r>
      <w:r w:rsidRPr="00B05F52">
        <w:t>.1</w:t>
      </w:r>
      <w:r>
        <w:t>6</w:t>
      </w:r>
      <w:r w:rsidRPr="00B05F52">
        <w:t>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8B1A71" w:rsidRPr="00AE16D4" w:rsidRDefault="008B1A71" w:rsidP="008B1A71">
      <w:pPr>
        <w:jc w:val="center"/>
        <w:rPr>
          <w:b/>
        </w:rPr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4. Права и обязанности Сторон</w:t>
      </w:r>
    </w:p>
    <w:p w:rsidR="008B1A71" w:rsidRPr="00AE16D4" w:rsidRDefault="008B1A71" w:rsidP="008B1A71">
      <w:pPr>
        <w:ind w:left="-567" w:firstLine="567"/>
        <w:jc w:val="both"/>
      </w:pPr>
      <w:r w:rsidRPr="00AE16D4">
        <w:t>4.1. Заказчик вправе:</w:t>
      </w:r>
    </w:p>
    <w:p w:rsidR="008B1A71" w:rsidRPr="00AE16D4" w:rsidRDefault="008B1A71" w:rsidP="008B1A71">
      <w:pPr>
        <w:ind w:left="-567" w:firstLine="567"/>
        <w:jc w:val="both"/>
      </w:pPr>
      <w:r w:rsidRPr="00AE16D4">
        <w:t xml:space="preserve">4.1.1. </w:t>
      </w:r>
      <w:r>
        <w:t>Т</w:t>
      </w:r>
      <w:r w:rsidRPr="00AE16D4">
        <w:t>ребовать поставки качественных товаров и в срок установленный Контрактом;</w:t>
      </w:r>
    </w:p>
    <w:p w:rsidR="008B1A71" w:rsidRPr="00AE16D4" w:rsidRDefault="008B1A71" w:rsidP="008B1A71">
      <w:pPr>
        <w:ind w:left="-567" w:firstLine="567"/>
        <w:jc w:val="both"/>
      </w:pPr>
      <w:r w:rsidRPr="00AE16D4">
        <w:t>4.2. Заказчик обязуется:</w:t>
      </w:r>
    </w:p>
    <w:p w:rsidR="008B1A71" w:rsidRPr="00AE16D4" w:rsidRDefault="008B1A71" w:rsidP="008B1A71">
      <w:pPr>
        <w:ind w:left="-567" w:firstLine="567"/>
        <w:jc w:val="both"/>
      </w:pPr>
      <w:r w:rsidRPr="00AE16D4">
        <w:lastRenderedPageBreak/>
        <w:t xml:space="preserve">4.2.1. </w:t>
      </w:r>
      <w:r>
        <w:t>П</w:t>
      </w:r>
      <w:r w:rsidRPr="00AE16D4">
        <w:t>ринять качественный товар и оплатить его.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4.3. Поставщик вправе:</w:t>
      </w:r>
    </w:p>
    <w:p w:rsidR="008B1A71" w:rsidRPr="00AE16D4" w:rsidRDefault="008B1A71" w:rsidP="008B1A71">
      <w:pPr>
        <w:ind w:left="-567" w:firstLine="567"/>
        <w:jc w:val="both"/>
      </w:pPr>
      <w:r w:rsidRPr="00AE16D4">
        <w:t xml:space="preserve">4.3.1. </w:t>
      </w:r>
      <w:r>
        <w:t>П</w:t>
      </w:r>
      <w:r w:rsidRPr="00AE16D4">
        <w:t>олучить оплату за поставленный товар на условиях Контракта;</w:t>
      </w:r>
    </w:p>
    <w:p w:rsidR="008B1A71" w:rsidRPr="00AE16D4" w:rsidRDefault="008B1A71" w:rsidP="008B1A71">
      <w:pPr>
        <w:ind w:left="-567" w:firstLine="567"/>
        <w:jc w:val="both"/>
      </w:pPr>
      <w:r w:rsidRPr="00AE16D4">
        <w:t>4.4. Поставщик обязуется:</w:t>
      </w:r>
    </w:p>
    <w:p w:rsidR="008B1A71" w:rsidRPr="00AE16D4" w:rsidRDefault="008B1A71" w:rsidP="008B1A71">
      <w:pPr>
        <w:ind w:left="-567" w:firstLine="567"/>
        <w:jc w:val="both"/>
      </w:pPr>
      <w:r>
        <w:t>4.4.1. П</w:t>
      </w:r>
      <w:r w:rsidRPr="00AE16D4">
        <w:t>ередать Заказчику в обусловленный срок производимые (или закупаемые) товары;</w:t>
      </w:r>
    </w:p>
    <w:p w:rsidR="008B1A71" w:rsidRPr="00AE16D4" w:rsidRDefault="008B1A71" w:rsidP="008B1A71">
      <w:pPr>
        <w:ind w:left="-567" w:firstLine="567"/>
        <w:jc w:val="both"/>
      </w:pPr>
      <w:r w:rsidRPr="00AE16D4">
        <w:t xml:space="preserve">4.4.2. </w:t>
      </w:r>
      <w:r>
        <w:t>П</w:t>
      </w:r>
      <w:r w:rsidRPr="00AE16D4">
        <w:t>ередать товар в соответствующей таре и упаковке подлежащей возврату (или входящую в стоимость товара);</w:t>
      </w:r>
    </w:p>
    <w:p w:rsidR="008B1A71" w:rsidRPr="00AE16D4" w:rsidRDefault="008B1A71" w:rsidP="008B1A71">
      <w:pPr>
        <w:ind w:left="-567" w:firstLine="567"/>
        <w:jc w:val="both"/>
      </w:pPr>
      <w:r>
        <w:t>4.4.3. П</w:t>
      </w:r>
      <w:r w:rsidRPr="00AE16D4">
        <w:t xml:space="preserve">редставить сертификаты соответствия </w:t>
      </w:r>
      <w:proofErr w:type="spellStart"/>
      <w:r w:rsidRPr="00AE16D4">
        <w:t>ГОССТАНДАРТа</w:t>
      </w:r>
      <w:proofErr w:type="spellEnd"/>
      <w:r w:rsidRPr="00AE16D4">
        <w:t xml:space="preserve"> Российской Федерации, санитарно-гигиенические сертификаты на весь поставляемый товар. Поставщик должен представить необходимые сертификаты во время поставки товара.</w:t>
      </w:r>
    </w:p>
    <w:p w:rsidR="008B1A71" w:rsidRPr="00AE16D4" w:rsidRDefault="008B1A71" w:rsidP="008B1A71">
      <w:pPr>
        <w:ind w:left="-567" w:firstLine="567"/>
        <w:jc w:val="both"/>
      </w:pPr>
      <w:r>
        <w:t>4.4.4. В</w:t>
      </w:r>
      <w:r w:rsidRPr="00AE16D4">
        <w:t>осполнить недопоставку товара в ассортименте недопоставленного товара;</w:t>
      </w:r>
    </w:p>
    <w:p w:rsidR="008B1A71" w:rsidRDefault="008B1A71" w:rsidP="008B1A71">
      <w:pPr>
        <w:ind w:left="-567" w:firstLine="567"/>
        <w:jc w:val="both"/>
      </w:pPr>
      <w:r>
        <w:t>4.4.5. В</w:t>
      </w:r>
      <w:r w:rsidRPr="00AE16D4">
        <w:t xml:space="preserve">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8B1A71" w:rsidRPr="00AE16D4" w:rsidRDefault="008B1A71" w:rsidP="008B1A71">
      <w:pPr>
        <w:ind w:left="-567" w:firstLine="567"/>
        <w:jc w:val="both"/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5. Гарантии</w:t>
      </w:r>
    </w:p>
    <w:p w:rsidR="008B1A71" w:rsidRPr="00AE16D4" w:rsidRDefault="008B1A71" w:rsidP="008B1A71">
      <w:pPr>
        <w:ind w:left="-567" w:firstLine="567"/>
        <w:jc w:val="both"/>
      </w:pPr>
      <w:r w:rsidRPr="00AE16D4"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8B1A71" w:rsidRPr="00AE16D4" w:rsidRDefault="008B1A71" w:rsidP="008B1A71">
      <w:pPr>
        <w:ind w:left="-567" w:firstLine="567"/>
        <w:jc w:val="both"/>
      </w:pPr>
      <w:r w:rsidRPr="00AE16D4"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8B1A71" w:rsidRPr="00AE16D4" w:rsidRDefault="008B1A71" w:rsidP="008B1A71">
      <w:pPr>
        <w:jc w:val="center"/>
        <w:rPr>
          <w:b/>
        </w:rPr>
      </w:pPr>
    </w:p>
    <w:p w:rsidR="008B1A71" w:rsidRPr="00AE16D4" w:rsidRDefault="008B1A71" w:rsidP="008B1A71">
      <w:pPr>
        <w:jc w:val="center"/>
        <w:rPr>
          <w:b/>
        </w:rPr>
      </w:pPr>
      <w:r w:rsidRPr="00AE16D4">
        <w:rPr>
          <w:b/>
        </w:rPr>
        <w:t>6. Ответственность Сторон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8B1A71" w:rsidRPr="000F441B" w:rsidRDefault="008B1A71" w:rsidP="008B1A71">
      <w:pPr>
        <w:ind w:left="-567" w:firstLine="567"/>
        <w:jc w:val="both"/>
      </w:pPr>
      <w:r>
        <w:t>6</w:t>
      </w:r>
      <w:r w:rsidRPr="000F441B">
        <w:t xml:space="preserve">.2. </w:t>
      </w:r>
      <w:proofErr w:type="gramStart"/>
      <w:r w:rsidRPr="000F441B">
        <w:t>Порядок определения фиксированного размера штрафа, а также размера пени установлен «Правилами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утвержденными Постановлением Правительства РФ от 25.11.2013 № 1063.</w:t>
      </w:r>
      <w:proofErr w:type="gramEnd"/>
    </w:p>
    <w:p w:rsidR="008B1A71" w:rsidRPr="000F441B" w:rsidRDefault="008B1A71" w:rsidP="008B1A71">
      <w:pPr>
        <w:ind w:left="-567" w:firstLine="567"/>
        <w:jc w:val="both"/>
      </w:pPr>
      <w:r>
        <w:t>6</w:t>
      </w:r>
      <w:r w:rsidRPr="000F441B">
        <w:t>.3. Ответственность Заказчика.</w:t>
      </w:r>
    </w:p>
    <w:p w:rsidR="008B1A71" w:rsidRPr="000F441B" w:rsidRDefault="008B1A71" w:rsidP="008B1A71">
      <w:pPr>
        <w:ind w:left="-567" w:firstLine="567"/>
        <w:jc w:val="both"/>
      </w:pPr>
      <w:r w:rsidRPr="000F441B">
        <w:t xml:space="preserve">1) За просрочку исполнения Заказчиком обязательства, предусмотренного контрактом, Поставщик вправе потребовать уплату пеней. Пеня </w:t>
      </w:r>
      <w:proofErr w:type="gramStart"/>
      <w:r w:rsidRPr="000F441B">
        <w:t>начисляется за каждый день просрочки исполнения обязательства начиная</w:t>
      </w:r>
      <w:proofErr w:type="gramEnd"/>
      <w:r w:rsidRPr="000F441B"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8B1A71" w:rsidRPr="000F441B" w:rsidRDefault="008B1A71" w:rsidP="008B1A71">
      <w:pPr>
        <w:ind w:left="-567" w:firstLine="567"/>
        <w:jc w:val="both"/>
      </w:pPr>
      <w:r w:rsidRPr="000F441B">
        <w:t>2) За ненадлежащее исполнение Заказчиком обязательств, предусмотренных контрактом, за исключением просрочки исполнения обязательств, Поставщик вправе взыскать с Заказчика                     штраф в размере 2,5% цены контракта, что составляет</w:t>
      </w:r>
      <w:proofErr w:type="gramStart"/>
      <w:r w:rsidRPr="000F441B">
        <w:t xml:space="preserve"> </w:t>
      </w:r>
      <w:r>
        <w:t>______________</w:t>
      </w:r>
      <w:r w:rsidRPr="000F441B">
        <w:t xml:space="preserve"> (</w:t>
      </w:r>
      <w:r>
        <w:t>____________</w:t>
      </w:r>
      <w:r w:rsidRPr="000F441B">
        <w:t xml:space="preserve">) </w:t>
      </w:r>
      <w:proofErr w:type="gramEnd"/>
      <w:r w:rsidRPr="000F441B">
        <w:t>руб</w:t>
      </w:r>
      <w:r>
        <w:t>.</w:t>
      </w:r>
    </w:p>
    <w:p w:rsidR="008B1A71" w:rsidRPr="000F441B" w:rsidRDefault="008B1A71" w:rsidP="008B1A71">
      <w:pPr>
        <w:ind w:left="-567" w:firstLine="567"/>
        <w:jc w:val="both"/>
      </w:pPr>
      <w:r>
        <w:t>6</w:t>
      </w:r>
      <w:r w:rsidRPr="000F441B">
        <w:t>.4. Ответственность Поставщика.</w:t>
      </w:r>
    </w:p>
    <w:p w:rsidR="008B1A71" w:rsidRPr="000F441B" w:rsidRDefault="008B1A71" w:rsidP="008B1A71">
      <w:pPr>
        <w:ind w:left="-567" w:firstLine="567"/>
        <w:jc w:val="both"/>
      </w:pPr>
      <w:r w:rsidRPr="000F441B">
        <w:t xml:space="preserve">1) За просрочку исполнения Поставщиком обязательства, предусмотренного контрактом (нарушение сроков поставки Товара, сроков замены некачественного Товара, сроков проведения сверки расчетов, а также иной просрочки исполнения обязательства Поставщиком), Заказчик направляет Поставщику требование об уплате пеней. </w:t>
      </w:r>
      <w:proofErr w:type="gramStart"/>
      <w:r w:rsidRPr="000F441B">
        <w:t xml:space="preserve">Пеня начисляется за каждый день просрочки исполнения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Поставщиком. </w:t>
      </w:r>
      <w:proofErr w:type="gramEnd"/>
    </w:p>
    <w:p w:rsidR="00362F81" w:rsidRDefault="00362F81" w:rsidP="008B1A71">
      <w:pPr>
        <w:ind w:left="-567" w:firstLine="567"/>
        <w:jc w:val="both"/>
      </w:pPr>
    </w:p>
    <w:p w:rsidR="00362F81" w:rsidRDefault="00362F81" w:rsidP="008B1A71">
      <w:pPr>
        <w:ind w:left="-567" w:firstLine="567"/>
        <w:jc w:val="both"/>
      </w:pPr>
    </w:p>
    <w:p w:rsidR="008B1A71" w:rsidRPr="000F441B" w:rsidRDefault="008B1A71" w:rsidP="008B1A71">
      <w:pPr>
        <w:ind w:left="-567" w:firstLine="567"/>
        <w:jc w:val="both"/>
      </w:pPr>
      <w:r w:rsidRPr="000F441B">
        <w:lastRenderedPageBreak/>
        <w:t>Пеня определяется по формуле    П = (Ц - В) x</w:t>
      </w:r>
      <w:proofErr w:type="gramStart"/>
      <w:r w:rsidRPr="000F441B">
        <w:t xml:space="preserve"> С</w:t>
      </w:r>
      <w:proofErr w:type="gramEnd"/>
      <w:r w:rsidRPr="000F441B">
        <w:t>,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где: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proofErr w:type="gramStart"/>
      <w:r w:rsidRPr="000F441B">
        <w:t>Ц</w:t>
      </w:r>
      <w:proofErr w:type="gramEnd"/>
      <w:r w:rsidRPr="000F441B">
        <w:t xml:space="preserve"> - цена контракта;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proofErr w:type="gramStart"/>
      <w:r w:rsidRPr="000F441B">
        <w:t>В - стоимость фактически исполненного в установленный срок Поставщиком 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С - размер ставки.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Размер ставки определяется по формуле: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center"/>
      </w:pPr>
      <w:r>
        <w:rPr>
          <w:noProof/>
        </w:rPr>
        <w:drawing>
          <wp:inline distT="0" distB="0" distL="0" distR="0">
            <wp:extent cx="1190625" cy="314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41B">
        <w:t>,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где: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rPr>
          <w:noProof/>
        </w:rPr>
        <w:drawing>
          <wp:inline distT="0" distB="0" distL="0" distR="0">
            <wp:extent cx="323850" cy="31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41B"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0F441B">
        <w:t xml:space="preserve"> К</w:t>
      </w:r>
      <w:proofErr w:type="gramEnd"/>
      <w:r w:rsidRPr="000F441B">
        <w:t>;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ДП - количество дней просрочки.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Коэффициент</w:t>
      </w:r>
      <w:proofErr w:type="gramStart"/>
      <w:r w:rsidRPr="000F441B">
        <w:t xml:space="preserve"> К</w:t>
      </w:r>
      <w:proofErr w:type="gramEnd"/>
      <w:r w:rsidRPr="000F441B">
        <w:t xml:space="preserve"> определяется по формуле: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center"/>
      </w:pPr>
      <w:r>
        <w:rPr>
          <w:noProof/>
        </w:rPr>
        <w:drawing>
          <wp:inline distT="0" distB="0" distL="0" distR="0">
            <wp:extent cx="1419225" cy="5048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41B">
        <w:t>,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где: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ДП - количество дней просрочки;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ДК - срок исполнения обязательства по контракту (количество дней).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При</w:t>
      </w:r>
      <w:proofErr w:type="gramStart"/>
      <w:r w:rsidRPr="000F441B">
        <w:t xml:space="preserve"> К</w:t>
      </w:r>
      <w:proofErr w:type="gramEnd"/>
      <w:r w:rsidRPr="000F441B"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При</w:t>
      </w:r>
      <w:proofErr w:type="gramStart"/>
      <w:r w:rsidRPr="000F441B">
        <w:t xml:space="preserve"> К</w:t>
      </w:r>
      <w:proofErr w:type="gramEnd"/>
      <w:r w:rsidRPr="000F441B"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  <w:r w:rsidRPr="000F441B">
        <w:t>При</w:t>
      </w:r>
      <w:proofErr w:type="gramStart"/>
      <w:r w:rsidRPr="000F441B">
        <w:t xml:space="preserve"> К</w:t>
      </w:r>
      <w:proofErr w:type="gramEnd"/>
      <w:r w:rsidRPr="000F441B"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B1A71" w:rsidRPr="000F441B" w:rsidRDefault="008B1A71" w:rsidP="008B1A71">
      <w:pPr>
        <w:ind w:left="-567" w:firstLine="567"/>
        <w:jc w:val="both"/>
      </w:pPr>
      <w:r w:rsidRPr="000F441B">
        <w:t>2) За ненадлежащее исполнение Поставщиком обязательств, предусмотренных контрактом, за исключением просрочки исполнения обязательств (в том числе гарантийного обязательства), Заказчик направляет Поставщику требование об уплате штрафа. Штраф выплачивается Поставщиком в размере 10 % цены контракта, что составляет</w:t>
      </w:r>
      <w:proofErr w:type="gramStart"/>
      <w:r w:rsidRPr="000F441B">
        <w:t xml:space="preserve"> </w:t>
      </w:r>
      <w:r>
        <w:t>__________</w:t>
      </w:r>
      <w:r w:rsidRPr="000F441B">
        <w:t xml:space="preserve"> (</w:t>
      </w:r>
      <w:r>
        <w:t>______</w:t>
      </w:r>
      <w:r w:rsidRPr="000F441B">
        <w:t xml:space="preserve">) </w:t>
      </w:r>
      <w:proofErr w:type="gramEnd"/>
      <w:r w:rsidRPr="000F441B">
        <w:t>руб</w:t>
      </w:r>
      <w:r>
        <w:t>.</w:t>
      </w:r>
    </w:p>
    <w:p w:rsidR="008B1A71" w:rsidRDefault="008B1A71" w:rsidP="008B1A71">
      <w:pPr>
        <w:autoSpaceDE w:val="0"/>
        <w:autoSpaceDN w:val="0"/>
        <w:adjustRightInd w:val="0"/>
        <w:ind w:left="-567" w:firstLine="567"/>
        <w:jc w:val="both"/>
      </w:pPr>
      <w:r>
        <w:t>6</w:t>
      </w:r>
      <w:r w:rsidRPr="000F441B">
        <w:t>.5.</w:t>
      </w:r>
      <w:r>
        <w:t xml:space="preserve"> </w:t>
      </w:r>
      <w:r w:rsidRPr="000F441B">
        <w:t>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8B1A71" w:rsidRPr="000F441B" w:rsidRDefault="008B1A71" w:rsidP="008B1A71">
      <w:pPr>
        <w:autoSpaceDE w:val="0"/>
        <w:autoSpaceDN w:val="0"/>
        <w:adjustRightInd w:val="0"/>
        <w:ind w:left="-567" w:firstLine="567"/>
        <w:jc w:val="both"/>
      </w:pPr>
    </w:p>
    <w:p w:rsidR="008B1A71" w:rsidRPr="000F441B" w:rsidRDefault="008B1A71" w:rsidP="008B1A71">
      <w:pPr>
        <w:jc w:val="center"/>
        <w:rPr>
          <w:b/>
          <w:sz w:val="22"/>
          <w:szCs w:val="22"/>
        </w:rPr>
      </w:pPr>
      <w:r w:rsidRPr="00AE16D4">
        <w:rPr>
          <w:b/>
        </w:rPr>
        <w:t xml:space="preserve">7. </w:t>
      </w:r>
      <w:r w:rsidRPr="000F441B">
        <w:rPr>
          <w:b/>
          <w:sz w:val="22"/>
          <w:szCs w:val="22"/>
        </w:rPr>
        <w:t xml:space="preserve"> Обстоятельства непреодолимой силы</w:t>
      </w:r>
    </w:p>
    <w:p w:rsidR="008B1A71" w:rsidRPr="000F441B" w:rsidRDefault="008B1A71" w:rsidP="008B1A71">
      <w:pPr>
        <w:ind w:left="-567" w:firstLine="567"/>
        <w:jc w:val="both"/>
      </w:pPr>
      <w:r w:rsidRPr="00B35E5B">
        <w:t>7</w:t>
      </w:r>
      <w:r w:rsidRPr="000F441B"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7</w:t>
      </w:r>
      <w:r w:rsidRPr="000F441B">
        <w:t>.2. При наступлении таких обстоятель</w:t>
      </w:r>
      <w:proofErr w:type="gramStart"/>
      <w:r w:rsidRPr="000F441B">
        <w:t>ств ср</w:t>
      </w:r>
      <w:proofErr w:type="gramEnd"/>
      <w:r w:rsidRPr="000F441B"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7</w:t>
      </w:r>
      <w:r w:rsidRPr="000F441B"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8B1A71" w:rsidRPr="000F441B" w:rsidRDefault="008B1A71" w:rsidP="008B1A71">
      <w:pPr>
        <w:keepNext/>
        <w:autoSpaceDE w:val="0"/>
        <w:autoSpaceDN w:val="0"/>
        <w:adjustRightInd w:val="0"/>
        <w:ind w:left="-567" w:firstLine="567"/>
        <w:jc w:val="center"/>
        <w:rPr>
          <w:b/>
          <w:sz w:val="22"/>
          <w:szCs w:val="22"/>
        </w:rPr>
      </w:pPr>
    </w:p>
    <w:p w:rsidR="008B1A71" w:rsidRPr="000F441B" w:rsidRDefault="008B1A71" w:rsidP="008B1A71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0F441B">
        <w:rPr>
          <w:b/>
          <w:sz w:val="22"/>
          <w:szCs w:val="22"/>
        </w:rPr>
        <w:t>. Порядок разрешения споров</w:t>
      </w:r>
    </w:p>
    <w:p w:rsidR="008B1A71" w:rsidRPr="000F441B" w:rsidRDefault="008B1A71" w:rsidP="008B1A71">
      <w:pPr>
        <w:ind w:left="-567" w:firstLine="567"/>
        <w:jc w:val="both"/>
      </w:pPr>
      <w:r w:rsidRPr="00B35E5B">
        <w:t>8</w:t>
      </w:r>
      <w:r w:rsidRPr="000F441B"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8</w:t>
      </w:r>
      <w:r w:rsidRPr="000F441B"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8B1A71" w:rsidRPr="000F441B" w:rsidRDefault="008B1A71" w:rsidP="008B1A7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B1A71" w:rsidRPr="000F441B" w:rsidRDefault="008B1A71" w:rsidP="008B1A7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0F441B">
        <w:rPr>
          <w:b/>
          <w:sz w:val="22"/>
          <w:szCs w:val="22"/>
        </w:rPr>
        <w:t>. Заключительные положения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>.1. Настоящий контра</w:t>
      </w:r>
      <w:proofErr w:type="gramStart"/>
      <w:r w:rsidRPr="000F441B">
        <w:t>кт вст</w:t>
      </w:r>
      <w:proofErr w:type="gramEnd"/>
      <w:r w:rsidRPr="000F441B">
        <w:t xml:space="preserve">упает в силу с момента подписания и действует до </w:t>
      </w:r>
      <w:r>
        <w:t>31.12.2015 г.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>.2. Настоящий Контракт составлен в трех экземплярах, имеющих одинаковую юридическую силу.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 xml:space="preserve">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</w:t>
      </w:r>
    </w:p>
    <w:p w:rsidR="008B1A71" w:rsidRPr="000F441B" w:rsidRDefault="008B1A71" w:rsidP="008B1A71">
      <w:pPr>
        <w:ind w:left="-567" w:firstLine="567"/>
        <w:jc w:val="both"/>
      </w:pPr>
      <w:r w:rsidRPr="000F441B">
        <w:t xml:space="preserve">Расторжение Контракта в связи с односторонним отказом стороны </w:t>
      </w:r>
      <w:proofErr w:type="gramStart"/>
      <w:r w:rsidRPr="000F441B">
        <w:t>Контракта</w:t>
      </w:r>
      <w:proofErr w:type="gramEnd"/>
      <w:r w:rsidRPr="000F441B">
        <w:t xml:space="preserve"> а от исполнения Контракта осуществляется в порядке, установленном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 xml:space="preserve">.4. 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>.5.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 xml:space="preserve">.6. В случае изменения </w:t>
      </w:r>
      <w:proofErr w:type="gramStart"/>
      <w:r w:rsidRPr="000F441B">
        <w:t>у</w:t>
      </w:r>
      <w:proofErr w:type="gramEnd"/>
      <w:r w:rsidRPr="000F441B">
        <w:t xml:space="preserve"> </w:t>
      </w:r>
      <w:proofErr w:type="gramStart"/>
      <w:r w:rsidRPr="000F441B">
        <w:t>какой-либо</w:t>
      </w:r>
      <w:proofErr w:type="gramEnd"/>
      <w:r w:rsidRPr="000F441B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B1A71" w:rsidRPr="000F441B" w:rsidRDefault="008B1A71" w:rsidP="008B1A71">
      <w:pPr>
        <w:ind w:left="-567" w:firstLine="567"/>
        <w:jc w:val="both"/>
      </w:pPr>
      <w:r w:rsidRPr="00B35E5B">
        <w:t>9</w:t>
      </w:r>
      <w:r w:rsidRPr="000F441B">
        <w:t>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B1A71" w:rsidRDefault="008B1A71" w:rsidP="008B1A71">
      <w:pPr>
        <w:ind w:left="-567" w:firstLine="567"/>
        <w:jc w:val="both"/>
      </w:pPr>
    </w:p>
    <w:p w:rsidR="008B1A71" w:rsidRPr="00C41D72" w:rsidRDefault="008B1A71" w:rsidP="008B1A71">
      <w:pPr>
        <w:jc w:val="center"/>
        <w:rPr>
          <w:b/>
        </w:rPr>
      </w:pPr>
      <w:r w:rsidRPr="00C41D72">
        <w:rPr>
          <w:b/>
        </w:rPr>
        <w:t>10. Адреса, реквизиты и подписи сторон:</w:t>
      </w:r>
    </w:p>
    <w:p w:rsidR="008B1A71" w:rsidRPr="00C41D72" w:rsidRDefault="008B1A71" w:rsidP="008B1A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8B1A71" w:rsidRPr="00C41D72" w:rsidTr="00804D31">
        <w:trPr>
          <w:trHeight w:val="3422"/>
        </w:trPr>
        <w:tc>
          <w:tcPr>
            <w:tcW w:w="4644" w:type="dxa"/>
          </w:tcPr>
          <w:p w:rsidR="008B1A71" w:rsidRPr="00C41D72" w:rsidRDefault="008B1A71" w:rsidP="00804D31">
            <w:pPr>
              <w:jc w:val="center"/>
            </w:pPr>
            <w:r w:rsidRPr="00C41D72">
              <w:rPr>
                <w:bCs/>
              </w:rPr>
              <w:t>Заказчик</w:t>
            </w:r>
            <w:r w:rsidRPr="00C41D72">
              <w:t>:</w:t>
            </w:r>
          </w:p>
          <w:p w:rsidR="008B1A71" w:rsidRPr="00C41D72" w:rsidRDefault="008B1A71" w:rsidP="00804D31">
            <w:pPr>
              <w:rPr>
                <w:b/>
              </w:rPr>
            </w:pPr>
          </w:p>
          <w:p w:rsidR="008B1A71" w:rsidRPr="00C41D72" w:rsidRDefault="00362F81" w:rsidP="00804D31">
            <w:pPr>
              <w:rPr>
                <w:b/>
              </w:rPr>
            </w:pPr>
            <w:r>
              <w:rPr>
                <w:b/>
              </w:rPr>
              <w:t>МБДОУ «Детский сад комбинированного вида № 181»</w:t>
            </w:r>
          </w:p>
          <w:p w:rsidR="00B25271" w:rsidRDefault="008B1A71" w:rsidP="00804D31">
            <w:pPr>
              <w:jc w:val="both"/>
            </w:pPr>
            <w:r w:rsidRPr="00C41D72">
              <w:t xml:space="preserve">Юридический адрес: </w:t>
            </w:r>
          </w:p>
          <w:p w:rsidR="008B1A71" w:rsidRPr="00C41D72" w:rsidRDefault="008B1A71" w:rsidP="00804D31">
            <w:pPr>
              <w:jc w:val="both"/>
            </w:pPr>
            <w:r w:rsidRPr="00C41D72">
              <w:t>1530</w:t>
            </w:r>
            <w:r w:rsidR="00362F81">
              <w:t>48, г. Иваново, ул. 3-я Чапаева, д.88</w:t>
            </w:r>
            <w:r w:rsidRPr="00C41D72">
              <w:t xml:space="preserve"> </w:t>
            </w:r>
          </w:p>
          <w:p w:rsidR="008B1A71" w:rsidRPr="00C41D72" w:rsidRDefault="00362F81" w:rsidP="00804D31">
            <w:pPr>
              <w:jc w:val="both"/>
            </w:pPr>
            <w:r>
              <w:t>ИНН 3728025398</w:t>
            </w:r>
            <w:r w:rsidR="008B1A71" w:rsidRPr="00C41D72">
              <w:t xml:space="preserve">      КПП 370201001</w:t>
            </w:r>
          </w:p>
          <w:p w:rsidR="008B1A71" w:rsidRPr="00C41D72" w:rsidRDefault="008B1A71" w:rsidP="00B25271">
            <w:pPr>
              <w:jc w:val="both"/>
            </w:pPr>
            <w:r w:rsidRPr="00C41D72">
              <w:t xml:space="preserve">Тел: (4932) </w:t>
            </w:r>
            <w:r w:rsidR="00B25271">
              <w:t>56-17-22, 56-61-44</w:t>
            </w:r>
          </w:p>
          <w:p w:rsidR="008B1A71" w:rsidRPr="00C41D72" w:rsidRDefault="00B25271" w:rsidP="00804D31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8B1A71" w:rsidRPr="00C41D72" w:rsidRDefault="008B1A71" w:rsidP="00B25271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 w:rsidRPr="00C41D72">
              <w:rPr>
                <w:sz w:val="24"/>
                <w:szCs w:val="24"/>
              </w:rPr>
              <w:t>____________________ /</w:t>
            </w:r>
            <w:proofErr w:type="spellStart"/>
            <w:r w:rsidR="00B25271">
              <w:rPr>
                <w:sz w:val="24"/>
                <w:szCs w:val="24"/>
              </w:rPr>
              <w:t>С.В.Ломакина</w:t>
            </w:r>
            <w:proofErr w:type="spellEnd"/>
            <w:r w:rsidRPr="00C41D72">
              <w:rPr>
                <w:sz w:val="24"/>
                <w:szCs w:val="24"/>
              </w:rPr>
              <w:t>/</w:t>
            </w:r>
          </w:p>
        </w:tc>
        <w:tc>
          <w:tcPr>
            <w:tcW w:w="4824" w:type="dxa"/>
          </w:tcPr>
          <w:p w:rsidR="008B1A71" w:rsidRPr="00C41D72" w:rsidRDefault="008B1A71" w:rsidP="00804D31">
            <w:pPr>
              <w:pStyle w:val="3"/>
              <w:ind w:left="72"/>
              <w:jc w:val="center"/>
              <w:rPr>
                <w:bCs/>
                <w:sz w:val="24"/>
                <w:szCs w:val="24"/>
              </w:rPr>
            </w:pPr>
            <w:r w:rsidRPr="00C41D72">
              <w:rPr>
                <w:bCs/>
                <w:sz w:val="24"/>
                <w:szCs w:val="24"/>
              </w:rPr>
              <w:t>Поставщик:</w:t>
            </w:r>
          </w:p>
          <w:p w:rsidR="008B1A71" w:rsidRPr="00C41D72" w:rsidRDefault="008B1A71" w:rsidP="00804D31">
            <w:pPr>
              <w:jc w:val="both"/>
              <w:rPr>
                <w:b/>
              </w:rPr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</w:pPr>
          </w:p>
          <w:p w:rsidR="008B1A71" w:rsidRPr="00C41D72" w:rsidRDefault="008B1A71" w:rsidP="00804D31">
            <w:pPr>
              <w:ind w:firstLine="459"/>
              <w:jc w:val="both"/>
              <w:rPr>
                <w:bCs/>
              </w:rPr>
            </w:pPr>
          </w:p>
        </w:tc>
      </w:tr>
    </w:tbl>
    <w:p w:rsidR="008B1A71" w:rsidRPr="00AE16D4" w:rsidRDefault="008B1A71" w:rsidP="008B1A71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8B1A71" w:rsidRPr="00FF7B52" w:rsidRDefault="008B1A71" w:rsidP="008B1A71">
      <w:pPr>
        <w:tabs>
          <w:tab w:val="left" w:pos="2280"/>
          <w:tab w:val="left" w:pos="2940"/>
        </w:tabs>
        <w:jc w:val="right"/>
      </w:pPr>
      <w:r w:rsidRPr="00AE16D4">
        <w:br w:type="page"/>
      </w:r>
      <w:r w:rsidRPr="00FF7B52">
        <w:lastRenderedPageBreak/>
        <w:t xml:space="preserve">Приложение № 1 </w:t>
      </w:r>
    </w:p>
    <w:p w:rsidR="008B1A71" w:rsidRPr="00FF7B52" w:rsidRDefault="008B1A71" w:rsidP="008B1A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7B5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7B52">
        <w:rPr>
          <w:rFonts w:ascii="Times New Roman" w:hAnsi="Times New Roman" w:cs="Times New Roman"/>
          <w:sz w:val="24"/>
          <w:szCs w:val="24"/>
        </w:rPr>
        <w:t>униципальному контракту</w:t>
      </w:r>
    </w:p>
    <w:p w:rsidR="008B1A71" w:rsidRPr="00FF7B52" w:rsidRDefault="008B1A71" w:rsidP="008B1A71">
      <w:pPr>
        <w:pStyle w:val="ConsPlusNormal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№_______ </w:t>
      </w:r>
      <w:r w:rsidRPr="00FF7B52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7B5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F7B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7B5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F7B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1A71" w:rsidRPr="00FF7B52" w:rsidRDefault="008B1A71" w:rsidP="008B1A71">
      <w:pPr>
        <w:pStyle w:val="ConsPlusNormal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8B1A71" w:rsidRPr="00FF7B52" w:rsidRDefault="008B1A71" w:rsidP="008B1A71">
      <w:pPr>
        <w:pStyle w:val="ConsPlusNormal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8B1A71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FF7B52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8B1A71" w:rsidRPr="00FF7B52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559"/>
        <w:gridCol w:w="1275"/>
        <w:gridCol w:w="1275"/>
        <w:gridCol w:w="1419"/>
      </w:tblGrid>
      <w:tr w:rsidR="008B1A71" w:rsidRPr="004A6897" w:rsidTr="00804D31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FC1BEA" w:rsidRDefault="008B1A71" w:rsidP="00804D31">
            <w:pPr>
              <w:jc w:val="center"/>
            </w:pPr>
            <w:r w:rsidRPr="00FC1BEA">
              <w:t xml:space="preserve">№ </w:t>
            </w:r>
            <w:proofErr w:type="gramStart"/>
            <w:r w:rsidRPr="00FC1BEA">
              <w:t>п</w:t>
            </w:r>
            <w:proofErr w:type="gramEnd"/>
            <w:r w:rsidRPr="00FC1BEA"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FC1BEA" w:rsidRDefault="008B1A71" w:rsidP="00804D31">
            <w:pPr>
              <w:jc w:val="center"/>
            </w:pPr>
            <w:r w:rsidRPr="00FC1BEA">
              <w:t>Наименование товара</w:t>
            </w:r>
            <w:r>
              <w:t>,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FC1BEA" w:rsidRDefault="008B1A71" w:rsidP="00804D31">
            <w:pPr>
              <w:jc w:val="center"/>
            </w:pPr>
            <w:r w:rsidRPr="00FC1BEA"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FC1BEA" w:rsidRDefault="008B1A71" w:rsidP="00804D31">
            <w:pPr>
              <w:jc w:val="center"/>
            </w:pPr>
            <w:r w:rsidRPr="00FC1BEA">
              <w:t>Кол</w:t>
            </w:r>
            <w:r>
              <w:t>-</w:t>
            </w:r>
            <w:r w:rsidRPr="00FC1BEA">
              <w:t>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A71" w:rsidRPr="00FC1BEA" w:rsidRDefault="008B1A71" w:rsidP="00804D31">
            <w:pPr>
              <w:jc w:val="center"/>
            </w:pPr>
            <w:r w:rsidRPr="00FC1BEA">
              <w:t>Цена за ед., руб.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A71" w:rsidRPr="00FC1BEA" w:rsidRDefault="008B1A71" w:rsidP="00804D31">
            <w:pPr>
              <w:jc w:val="center"/>
            </w:pPr>
            <w:r w:rsidRPr="00FC1BEA">
              <w:t>Стоимость, руб.</w:t>
            </w:r>
          </w:p>
        </w:tc>
      </w:tr>
      <w:tr w:rsidR="008B1A71" w:rsidRPr="004A6897" w:rsidTr="00804D31">
        <w:trPr>
          <w:trHeight w:val="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  <w:r w:rsidRPr="00FC1BEA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</w:tr>
      <w:tr w:rsidR="008B1A71" w:rsidRPr="004A6897" w:rsidTr="00804D31">
        <w:trPr>
          <w:trHeight w:val="1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  <w:r w:rsidRPr="00FC1BEA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</w:tr>
      <w:tr w:rsidR="008B1A71" w:rsidRPr="004A6897" w:rsidTr="00804D31">
        <w:trPr>
          <w:trHeight w:val="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  <w:r w:rsidRPr="00FC1BEA">
              <w:rPr>
                <w:color w:val="000000"/>
              </w:rPr>
              <w:t>….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A71" w:rsidRPr="00FC1BEA" w:rsidRDefault="008B1A71" w:rsidP="00804D31">
            <w:pPr>
              <w:jc w:val="right"/>
              <w:rPr>
                <w:color w:val="000000"/>
              </w:rPr>
            </w:pPr>
          </w:p>
        </w:tc>
      </w:tr>
    </w:tbl>
    <w:p w:rsidR="008B1A71" w:rsidRPr="00FF7B52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8B1A71" w:rsidRPr="00FF7B52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1A71" w:rsidRPr="00FF7B52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8B1A71" w:rsidRPr="00FF7B52" w:rsidRDefault="008B1A71" w:rsidP="008B1A71">
      <w:pPr>
        <w:pStyle w:val="ConsPlusNormal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8B1A71" w:rsidRPr="00AE16D4" w:rsidTr="00804D31">
        <w:trPr>
          <w:trHeight w:val="3422"/>
        </w:trPr>
        <w:tc>
          <w:tcPr>
            <w:tcW w:w="4644" w:type="dxa"/>
          </w:tcPr>
          <w:p w:rsidR="008B1A71" w:rsidRPr="00547151" w:rsidRDefault="008B1A71" w:rsidP="00804D31">
            <w:pPr>
              <w:jc w:val="center"/>
            </w:pPr>
            <w:r w:rsidRPr="00E63CEE">
              <w:rPr>
                <w:bCs/>
              </w:rPr>
              <w:t>Заказчик</w:t>
            </w:r>
            <w:r w:rsidRPr="00547151">
              <w:rPr>
                <w:sz w:val="22"/>
                <w:szCs w:val="22"/>
              </w:rPr>
              <w:t>:</w:t>
            </w:r>
          </w:p>
          <w:p w:rsidR="008B1A71" w:rsidRPr="00547151" w:rsidRDefault="008B1A71" w:rsidP="00804D31">
            <w:pPr>
              <w:rPr>
                <w:b/>
              </w:rPr>
            </w:pPr>
          </w:p>
          <w:p w:rsidR="008B1A71" w:rsidRPr="00547151" w:rsidRDefault="00B25271" w:rsidP="00804D31">
            <w:pPr>
              <w:rPr>
                <w:b/>
              </w:rPr>
            </w:pPr>
            <w:r>
              <w:rPr>
                <w:b/>
              </w:rPr>
              <w:t>МБДОУ «Детский сад комбинированного вида № 181»</w:t>
            </w:r>
          </w:p>
          <w:p w:rsidR="008B1A71" w:rsidRPr="00547151" w:rsidRDefault="008B1A71" w:rsidP="00804D31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8B1A71" w:rsidRPr="00547151" w:rsidRDefault="00B25271" w:rsidP="00804D31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8B1A71" w:rsidRPr="00547151" w:rsidRDefault="008B1A71" w:rsidP="00B25271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547151">
              <w:rPr>
                <w:sz w:val="24"/>
                <w:szCs w:val="24"/>
              </w:rPr>
              <w:t>____________________ /</w:t>
            </w:r>
            <w:proofErr w:type="spellStart"/>
            <w:r w:rsidR="00B25271">
              <w:rPr>
                <w:sz w:val="24"/>
                <w:szCs w:val="24"/>
              </w:rPr>
              <w:t>С.В.Ломакина</w:t>
            </w:r>
            <w:proofErr w:type="spellEnd"/>
            <w:r w:rsidRPr="00547151">
              <w:rPr>
                <w:sz w:val="24"/>
                <w:szCs w:val="24"/>
              </w:rPr>
              <w:t>/</w:t>
            </w:r>
          </w:p>
        </w:tc>
        <w:tc>
          <w:tcPr>
            <w:tcW w:w="4824" w:type="dxa"/>
          </w:tcPr>
          <w:p w:rsidR="008B1A71" w:rsidRPr="00AE16D4" w:rsidRDefault="008B1A71" w:rsidP="00804D31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 w:rsidRPr="00E63CEE">
              <w:rPr>
                <w:bCs/>
                <w:sz w:val="24"/>
                <w:szCs w:val="24"/>
              </w:rPr>
              <w:t>Поставщик</w:t>
            </w:r>
            <w:r w:rsidRPr="00AE16D4">
              <w:rPr>
                <w:bCs/>
                <w:sz w:val="22"/>
                <w:szCs w:val="22"/>
              </w:rPr>
              <w:t>:</w:t>
            </w:r>
          </w:p>
          <w:p w:rsidR="008B1A71" w:rsidRDefault="008B1A71" w:rsidP="00804D31">
            <w:pPr>
              <w:jc w:val="both"/>
              <w:rPr>
                <w:b/>
              </w:rPr>
            </w:pPr>
          </w:p>
          <w:p w:rsidR="008B1A71" w:rsidRPr="00E63CEE" w:rsidRDefault="008B1A71" w:rsidP="00804D31">
            <w:pPr>
              <w:ind w:firstLine="459"/>
              <w:jc w:val="both"/>
              <w:rPr>
                <w:sz w:val="32"/>
                <w:szCs w:val="32"/>
              </w:rPr>
            </w:pPr>
          </w:p>
          <w:p w:rsidR="008B1A71" w:rsidRPr="00AE16D4" w:rsidRDefault="008B1A71" w:rsidP="00804D31">
            <w:pPr>
              <w:ind w:firstLine="459"/>
              <w:jc w:val="both"/>
              <w:rPr>
                <w:bCs/>
              </w:rPr>
            </w:pPr>
          </w:p>
        </w:tc>
      </w:tr>
    </w:tbl>
    <w:p w:rsidR="008B1A71" w:rsidRPr="00FF7B52" w:rsidRDefault="008B1A71" w:rsidP="008B1A71"/>
    <w:p w:rsidR="00B57EF9" w:rsidRPr="008B1A71" w:rsidRDefault="00B57EF9"/>
    <w:sectPr w:rsidR="00B57EF9" w:rsidRPr="008B1A71" w:rsidSect="000F441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17" w:rsidRDefault="00316417" w:rsidP="008B1A71">
      <w:r>
        <w:separator/>
      </w:r>
    </w:p>
  </w:endnote>
  <w:endnote w:type="continuationSeparator" w:id="0">
    <w:p w:rsidR="00316417" w:rsidRDefault="00316417" w:rsidP="008B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17" w:rsidRDefault="00316417" w:rsidP="008B1A71">
      <w:r>
        <w:separator/>
      </w:r>
    </w:p>
  </w:footnote>
  <w:footnote w:type="continuationSeparator" w:id="0">
    <w:p w:rsidR="00316417" w:rsidRDefault="00316417" w:rsidP="008B1A71">
      <w:r>
        <w:continuationSeparator/>
      </w:r>
    </w:p>
  </w:footnote>
  <w:footnote w:id="1">
    <w:p w:rsidR="008B1A71" w:rsidRPr="00067780" w:rsidRDefault="008B1A71" w:rsidP="008B1A71">
      <w:pPr>
        <w:pStyle w:val="a5"/>
      </w:pPr>
      <w:r w:rsidRPr="00067780">
        <w:rPr>
          <w:rStyle w:val="a7"/>
        </w:rPr>
        <w:t>*</w:t>
      </w:r>
      <w:r w:rsidRPr="00067780">
        <w:t xml:space="preserve"> в соответствии с системой налогообложения, применяемой </w:t>
      </w:r>
      <w:r>
        <w:t>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A71"/>
    <w:rsid w:val="001234B1"/>
    <w:rsid w:val="002C0E4F"/>
    <w:rsid w:val="00316417"/>
    <w:rsid w:val="00362F81"/>
    <w:rsid w:val="006119FD"/>
    <w:rsid w:val="008B1A71"/>
    <w:rsid w:val="00B25271"/>
    <w:rsid w:val="00B57EF9"/>
    <w:rsid w:val="00F42DE4"/>
    <w:rsid w:val="00FD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1A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1A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1A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8B1A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8B1A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B1A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8B1A7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rsid w:val="008B1A71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8B1A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B1A7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62F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F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Плечкина</cp:lastModifiedBy>
  <cp:revision>4</cp:revision>
  <dcterms:created xsi:type="dcterms:W3CDTF">2015-06-08T06:19:00Z</dcterms:created>
  <dcterms:modified xsi:type="dcterms:W3CDTF">2015-06-26T12:52:00Z</dcterms:modified>
</cp:coreProperties>
</file>