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Иванова </w:t>
      </w:r>
      <w:r w:rsidR="00EE379C" w:rsidRPr="00EE379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30.04.2019 № 636 «Об утверждении дизайн-кода города Иванова по размещению вывесок»».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B3033F">
        <w:rPr>
          <w:rFonts w:ascii="Times New Roman" w:hAnsi="Times New Roman" w:cs="Times New Roman"/>
          <w:sz w:val="28"/>
          <w:szCs w:val="28"/>
        </w:rPr>
        <w:t>29.06.2021 по 13.07.2021.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33F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устанавливает</w:t>
      </w:r>
      <w:r w:rsidR="00EE37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79C" w:rsidRPr="00EE379C">
        <w:rPr>
          <w:rFonts w:ascii="Times New Roman" w:hAnsi="Times New Roman" w:cs="Times New Roman"/>
          <w:sz w:val="28"/>
          <w:szCs w:val="28"/>
        </w:rPr>
        <w:t>что в случаях  размещения вывесок индивидуальных предпринимателей и юридических лиц, осуществляющих коммерческую деятельность в помещениях, расположенных на улицах категории «К3», «К</w:t>
      </w:r>
      <w:proofErr w:type="gramStart"/>
      <w:r w:rsidR="00EE379C" w:rsidRPr="00EE379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E379C" w:rsidRPr="00EE379C">
        <w:rPr>
          <w:rFonts w:ascii="Times New Roman" w:hAnsi="Times New Roman" w:cs="Times New Roman"/>
          <w:sz w:val="28"/>
          <w:szCs w:val="28"/>
        </w:rPr>
        <w:t>», «К5» и виды которых не предусмотрены Дизайн-кодом города Иванова, то вывески следует размещать в соответствии с требованиями применяемым к соответствующим помещениям на улицах категории «К1» и «К2».</w:t>
      </w:r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33F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 проекта нормативного правового акта и выявления в нем положений, устанавливающих обязательные требования,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 (наименование регулирующего органа), в соответствии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с (указываются пункты </w:t>
      </w:r>
      <w:r w:rsidRPr="00B3033F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Иванова)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 w:rsidR="00EE379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465B36"/>
    <w:rsid w:val="007936CB"/>
    <w:rsid w:val="00B3033F"/>
    <w:rsid w:val="00E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2261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4</cp:revision>
  <dcterms:created xsi:type="dcterms:W3CDTF">2021-06-28T11:31:00Z</dcterms:created>
  <dcterms:modified xsi:type="dcterms:W3CDTF">2021-06-28T12:04:00Z</dcterms:modified>
</cp:coreProperties>
</file>